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0B1F33"/>
          <w:sz w:val="44"/>
        </w:rPr>
        <w:t>Technical Specification Document (TSD)</w:t>
      </w:r>
    </w:p>
    <w:p>
      <w:r>
        <w:rPr>
          <w:rFonts w:ascii="Arial" w:hAnsi="Arial"/>
          <w:i/>
          <w:color w:val="0D6B63"/>
          <w:sz w:val="22"/>
        </w:rPr>
        <w:t>Engineering API Spec &amp; Architecture TSD Template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Project Name: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[Insert Project / Initiative Title]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Author / Owner: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Bryan Ananda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Version &amp; Status: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v1.0 (Draft for Review)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Target Date: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[Insert Expected Release Date]</w:t>
            </w:r>
          </w:p>
        </w:tc>
      </w:tr>
    </w:tbl>
    <w:p/>
    <w:p>
      <w:r>
        <w:rPr>
          <w:rFonts w:ascii="Arial" w:hAnsi="Arial"/>
          <w:b/>
          <w:color w:val="0B1F33"/>
          <w:sz w:val="28"/>
        </w:rPr>
        <w:t>1. System Architecture Overview</w:t>
      </w:r>
    </w:p>
    <w:p>
      <w:r>
        <w:rPr>
          <w:rFonts w:ascii="Arial" w:hAnsi="Arial"/>
          <w:sz w:val="21"/>
        </w:rPr>
        <w:t>Provide high-level system component diagrams, data ingestion pipelines, and service interaction models.</w:t>
      </w:r>
    </w:p>
    <w:p>
      <w:r>
        <w:rPr>
          <w:rFonts w:ascii="Arial" w:hAnsi="Arial"/>
          <w:b/>
          <w:color w:val="0B1F33"/>
          <w:sz w:val="28"/>
        </w:rPr>
        <w:t>2. API Specifications &amp; Data Schemas</w:t>
      </w:r>
    </w:p>
    <w:p>
      <w:pPr>
        <w:pStyle w:val="ListBullet"/>
      </w:pPr>
      <w:r>
        <w:rPr>
          <w:rFonts w:ascii="Arial" w:hAnsi="Arial"/>
          <w:sz w:val="21"/>
        </w:rPr>
        <w:t>Endpoints: List RESTful or Webhook endpoints (HTTP Method, URL Path).</w:t>
      </w:r>
    </w:p>
    <w:p>
      <w:pPr>
        <w:pStyle w:val="ListBullet"/>
      </w:pPr>
      <w:r>
        <w:rPr>
          <w:rFonts w:ascii="Arial" w:hAnsi="Arial"/>
          <w:sz w:val="21"/>
        </w:rPr>
        <w:t>Request Body: Define JSON schema parameters, types, and validation constraints.</w:t>
      </w:r>
    </w:p>
    <w:p>
      <w:pPr>
        <w:pStyle w:val="ListBullet"/>
      </w:pPr>
      <w:r>
        <w:rPr>
          <w:rFonts w:ascii="Arial" w:hAnsi="Arial"/>
          <w:sz w:val="21"/>
        </w:rPr>
        <w:t>Response Body: Define success payloads and standardized error response formats.</w:t>
      </w:r>
    </w:p>
    <w:p>
      <w:r>
        <w:rPr>
          <w:rFonts w:ascii="Arial" w:hAnsi="Arial"/>
          <w:b/>
          <w:color w:val="0B1F33"/>
          <w:sz w:val="28"/>
        </w:rPr>
        <w:t>3. Database Schema &amp; Entity-Relationship</w:t>
      </w:r>
    </w:p>
    <w:p>
      <w:r>
        <w:rPr>
          <w:rFonts w:ascii="Arial" w:hAnsi="Arial"/>
          <w:sz w:val="21"/>
        </w:rPr>
        <w:t>Detail database tables, primary/foreign keys, indexing strategies, and data retention policies.</w:t>
      </w:r>
    </w:p>
    <w:p>
      <w:r>
        <w:rPr>
          <w:rFonts w:ascii="Arial" w:hAnsi="Arial"/>
          <w:b/>
          <w:color w:val="0B1F33"/>
          <w:sz w:val="28"/>
        </w:rPr>
        <w:t>4. Security, Authentication &amp; Compliance</w:t>
      </w:r>
    </w:p>
    <w:p>
      <w:pPr>
        <w:pStyle w:val="ListBullet"/>
      </w:pPr>
      <w:r>
        <w:rPr>
          <w:rFonts w:ascii="Arial" w:hAnsi="Arial"/>
          <w:sz w:val="21"/>
        </w:rPr>
        <w:t>Authentication: OAuth 2.0 / API Key HMAC signature verification.</w:t>
      </w:r>
    </w:p>
    <w:p>
      <w:pPr>
        <w:pStyle w:val="ListBullet"/>
      </w:pPr>
      <w:r>
        <w:rPr>
          <w:rFonts w:ascii="Arial" w:hAnsi="Arial"/>
          <w:sz w:val="21"/>
        </w:rPr>
        <w:t>Data Protection: Encryption at rest (AES-256) and in transit (TLS 1.3).</w:t>
      </w:r>
    </w:p>
    <w:p>
      <w:pPr>
        <w:pStyle w:val="ListBullet"/>
      </w:pPr>
      <w:r>
        <w:rPr>
          <w:rFonts w:ascii="Arial" w:hAnsi="Arial"/>
          <w:sz w:val="21"/>
        </w:rPr>
        <w:t>Compliance: Audit logging rules for financial settlement records.</w:t>
      </w:r>
    </w:p>
    <w:p>
      <w:r>
        <w:rPr>
          <w:rFonts w:ascii="Arial" w:hAnsi="Arial"/>
          <w:b/>
          <w:color w:val="0B1F33"/>
          <w:sz w:val="28"/>
        </w:rPr>
        <w:t>5. Performance &amp; Latency SLAs</w:t>
      </w:r>
    </w:p>
    <w:p>
      <w:r>
        <w:rPr>
          <w:rFonts w:ascii="Arial" w:hAnsi="Arial"/>
          <w:sz w:val="21"/>
        </w:rPr>
        <w:t>Define expected throughput (TPS), maximum response latency (&lt;500ms), database query timeouts, and retry exponential backoff strategies.</w:t>
      </w:r>
    </w:p>
    <w:p>
      <w:r>
        <w:rPr>
          <w:rFonts w:ascii="Arial" w:hAnsi="Arial"/>
          <w:b/>
          <w:color w:val="0B1F33"/>
          <w:sz w:val="28"/>
        </w:rPr>
        <w:t>6. Disaster Recovery &amp; Monitoring</w:t>
      </w:r>
    </w:p>
    <w:p>
      <w:r>
        <w:rPr>
          <w:rFonts w:ascii="Arial" w:hAnsi="Arial"/>
          <w:sz w:val="21"/>
        </w:rPr>
        <w:t>Detail logging framework, health check probes, automated failover triggers, and alerting thresholds.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